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金融学院</w:t>
      </w:r>
      <w:r>
        <w:rPr>
          <w:rFonts w:hint="eastAsia" w:ascii="宋体" w:hAnsi="宋体" w:eastAsia="宋体" w:cs="宋体"/>
          <w:b/>
          <w:bCs/>
          <w:color w:val="auto"/>
          <w:kern w:val="0"/>
          <w:sz w:val="28"/>
          <w:szCs w:val="28"/>
        </w:rPr>
        <w:t>财富管理</w:t>
      </w:r>
      <w:r>
        <w:rPr>
          <w:rFonts w:hint="eastAsia" w:ascii="宋体" w:hAnsi="宋体" w:eastAsia="宋体" w:cs="宋体"/>
          <w:b/>
          <w:bCs/>
          <w:color w:val="auto"/>
          <w:kern w:val="0"/>
          <w:sz w:val="28"/>
          <w:szCs w:val="28"/>
          <w:lang w:eastAsia="zh-CN"/>
        </w:rPr>
        <w:t>及居住方案与住房金融</w:t>
      </w:r>
      <w:r>
        <w:rPr>
          <w:rFonts w:hint="eastAsia" w:ascii="宋体" w:hAnsi="宋体" w:eastAsia="宋体" w:cs="宋体"/>
          <w:b/>
          <w:bCs/>
          <w:color w:val="auto"/>
          <w:kern w:val="0"/>
          <w:sz w:val="28"/>
          <w:szCs w:val="28"/>
        </w:rPr>
        <w:t>微专业招生简章</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为落实立德树人根本任务，凸显财经政法深度融通和新文科人才培养特色，全面提升人才自主培养质量，2024年学校开设了财富管理、居住方案与住房金融等六个微专业。微专业依托于一流专业建设点优势和特色，主动适应新技术、新业态、新模式、新产业的需求，着力打造前沿性、高阶性和创新性课程体系，有利于提升学生专业核心素养，增强就业竞争力。经学校研究决定，现开展2024年微专业报名工作，具体通知如下：</w:t>
      </w:r>
      <w:bookmarkStart w:id="0" w:name="_GoBack"/>
      <w:bookmarkEnd w:id="0"/>
    </w:p>
    <w:p>
      <w:pPr>
        <w:keepNext w:val="0"/>
        <w:keepLines w:val="0"/>
        <w:pageBreakBefore w:val="0"/>
        <w:widowControl/>
        <w:numPr>
          <w:ilvl w:val="0"/>
          <w:numId w:val="1"/>
        </w:numPr>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专业简介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（一）财富管理</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中南财经政法大学金融学院财富管理微专业依托我校金融学国家重点学科和国家级一流本科专业建设点，以金融学和财务管理等理论为基础，着重学习家庭个人全生命周期现金流管理、投资管理、风险管理、养老规划、税收筹划、传承规划等财富管理的基本原理和方法，学习财富管理业务高级化和普惠化的基本思想与原理。</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kern w:val="0"/>
          <w:sz w:val="28"/>
          <w:szCs w:val="28"/>
        </w:rPr>
        <w:t>本专业旨在培养学生综合运用经济学、金融学、管理学、法学等相关专业知识和技能，解决个人、家庭、家庭、企业</w:t>
      </w:r>
      <w:r>
        <w:rPr>
          <w:rFonts w:hint="eastAsia" w:ascii="宋体" w:hAnsi="宋体" w:eastAsia="宋体" w:cs="宋体"/>
          <w:color w:val="auto"/>
          <w:kern w:val="0"/>
          <w:sz w:val="28"/>
          <w:szCs w:val="28"/>
          <w:highlight w:val="none"/>
          <w:shd w:val="clear" w:color="auto" w:fill="auto"/>
        </w:rPr>
        <w:t>、金融机构财富管理领域专门问题和复杂问题的能力。通过学习，学生能在中国式现代化过程中弘扬正确的财富管理观念，洞悉财富管理“个人-家庭-企业-社会”多层次综合需求，具备为家庭个人各阶段多样化目标进行财富管理规划和管理的系统能力，以及能胜任在商业银行、证券公司、保险公司、投资公司和理财公司等金融企业财富管理相关岗位进行咨询、规划、营销和服务的复合能力，成为新时代通晓中西财富管理文化、洞察当代财富管理需求、掌握现代财富管理技能、具备学科融通创新特征的高级人才。</w:t>
      </w:r>
    </w:p>
    <w:p>
      <w:pPr>
        <w:keepNext w:val="0"/>
        <w:keepLines w:val="0"/>
        <w:pageBreakBefore w:val="0"/>
        <w:widowControl/>
        <w:numPr>
          <w:ilvl w:val="0"/>
          <w:numId w:val="2"/>
        </w:numPr>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highlight w:val="none"/>
          <w:shd w:val="clear" w:color="auto" w:fill="auto"/>
          <w:lang w:eastAsia="zh-CN"/>
        </w:rPr>
      </w:pPr>
      <w:r>
        <w:rPr>
          <w:rFonts w:hint="eastAsia" w:ascii="宋体" w:hAnsi="宋体" w:eastAsia="宋体" w:cs="宋体"/>
          <w:color w:val="auto"/>
          <w:kern w:val="0"/>
          <w:sz w:val="28"/>
          <w:szCs w:val="28"/>
          <w:highlight w:val="none"/>
          <w:shd w:val="clear" w:color="auto" w:fill="auto"/>
          <w:lang w:eastAsia="zh-CN"/>
        </w:rPr>
        <w:t>居住方案与住房金融</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当你本科或研究生毕业走出大学校门参加工作时，租房住还是买房住？怎么租又怎么买？研究生甚至本科生的住宿社会化是一个趋势，北大、复旦等国内高校2022年已开始不为部分专硕提供宿舍，国外就更不必说了，那么，当你成功升学攻读硕士研究生时，学校不提供宿舍怎么办？到哪里租？怎么租？这些非常现实的必答题就摆在你的面前等待你认真回答。</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住房伴随人的一生，每个人在其求学、入职、结婚、生育、退休和养老，以及孩子上学、工作地点变动、住房升级换代等各阶段和环节，都必然碰到如何实现不同阶段和环节上最优居住预期的问题，为帮助学生提高解决这一问题的能力，中南财经政法大学金融学院开设了“居住方案与住房金融”微专业。本微专业依托我校投资学、房地产开发与管理、工程管理和造价管理等国家和省级一流本科专业建设点，以房地产经济和住房金融等理论为基础，系统学习住房及其经济运行的基本原理、经济金融角度的家庭生命全周期各阶段住房问题解决方案设计及选择、住房投融资、家庭取得住房的方式及其金融支持、家庭住房消费及保值增值功能等基本知识和方法，使学生提高根据自身财力变化，设计最优居住问题解决方案，并能选择合适的住房金融工具的能力。</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二、培养目标</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（一）财富管理</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本专业学习合格预期达到以下目标：</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1．具有良好的思想政治素质、高尚的职业操守和服务社会的奉献精神。</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2．掌握扎实的金融、经济、法律知识，掌握必备的专业分析技术和研究方法，了解财富管理的前沿理论和发展动态，具备一定的研究能力。</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3．能运用税务、投资等规划的分析工具和方法制作理财规划书，实施理财规划及监督，创造性地解决财富管理的实际问题。</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4．具有创造性思维、较强的动手能力、从事财富管理理论研究的能力以及终身学习的能力。</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5．具有国际化视野和良好的英语沟通能力，成为能够适应现代财富管理理论和财富管理业务不断国际化需要的复合型人才。</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lang w:val="en-US" w:eastAsia="zh-CN"/>
        </w:rPr>
        <w:tab/>
      </w:r>
      <w:r>
        <w:rPr>
          <w:rFonts w:hint="eastAsia" w:ascii="宋体" w:hAnsi="宋体" w:eastAsia="宋体" w:cs="宋体"/>
          <w:color w:val="auto"/>
          <w:kern w:val="0"/>
          <w:sz w:val="28"/>
          <w:szCs w:val="28"/>
          <w:lang w:eastAsia="zh-CN"/>
        </w:rPr>
        <w:t>（二）居住方案与住房金融</w:t>
      </w:r>
    </w:p>
    <w:p>
      <w:pPr>
        <w:widowControl/>
        <w:shd w:val="clear" w:color="auto"/>
        <w:spacing w:before="158" w:line="420" w:lineRule="atLeast"/>
        <w:ind w:firstLine="420" w:firstLineChars="0"/>
        <w:jc w:val="left"/>
        <w:rPr>
          <w:rFonts w:hint="eastAsia" w:ascii="宋体" w:hAnsi="宋体" w:eastAsia="宋体" w:cs="宋体"/>
          <w:color w:val="auto"/>
          <w:kern w:val="0"/>
          <w:sz w:val="28"/>
          <w:szCs w:val="28"/>
        </w:rPr>
      </w:pPr>
      <w:r>
        <w:rPr>
          <w:rFonts w:hint="eastAsia" w:ascii="宋体" w:hAnsi="宋体" w:eastAsia="宋体" w:cs="宋体"/>
          <w:kern w:val="0"/>
          <w:sz w:val="28"/>
          <w:szCs w:val="28"/>
        </w:rPr>
        <w:t>本微专业以培养学生住房金融素养和家庭生命全周期中各阶段和环节居住问题解决方案的设计能力为目标，达到使学生既能提高系统掌握根据个人和家庭财务状况变化理性选择居住问题解决方案，并正确使用相关住房金融工具的能力，又能提高住房经济和投融资素养，改善自身知识结构和提升综合素质的目的。</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三、学制与证书</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微专业修读年限为一学年。</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完成各门课程学习，成绩合格，即可获得对应学分；学分修满后可获得微专业认证证书，证书由教务部统一发放。</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hint="eastAsia" w:ascii="宋体" w:hAnsi="宋体" w:eastAsia="宋体" w:cs="宋体"/>
          <w:b/>
          <w:bCs/>
          <w:color w:val="auto"/>
          <w:kern w:val="0"/>
          <w:sz w:val="28"/>
          <w:szCs w:val="28"/>
        </w:rPr>
        <w:t>课程设置</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（一）财富管理</w:t>
      </w:r>
    </w:p>
    <w:tbl>
      <w:tblPr>
        <w:tblStyle w:val="8"/>
        <w:tblW w:w="7877" w:type="dxa"/>
        <w:tblInd w:w="181"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1182"/>
        <w:gridCol w:w="2790"/>
        <w:gridCol w:w="1764"/>
        <w:gridCol w:w="983"/>
        <w:gridCol w:w="115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26" w:hRule="atLeast"/>
        </w:trPr>
        <w:tc>
          <w:tcPr>
            <w:tcW w:w="1182" w:type="dxa"/>
            <w:shd w:val="clear" w:color="auto" w:fill="auto"/>
            <w:tcMar>
              <w:top w:w="75" w:type="dxa"/>
              <w:left w:w="150" w:type="dxa"/>
              <w:bottom w:w="75" w:type="dxa"/>
              <w:right w:w="150" w:type="dxa"/>
            </w:tcMar>
            <w:vAlign w:val="center"/>
          </w:tcPr>
          <w:p>
            <w:pPr>
              <w:rPr>
                <w:rFonts w:hint="eastAsia"/>
              </w:rPr>
            </w:pPr>
            <w:r>
              <w:rPr>
                <w:rFonts w:hint="eastAsia"/>
              </w:rPr>
              <w:t>学期</w:t>
            </w: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课程名称</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教学方式</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课时</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学分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0" w:hRule="atLeast"/>
        </w:trPr>
        <w:tc>
          <w:tcPr>
            <w:tcW w:w="1182" w:type="dxa"/>
            <w:vMerge w:val="restart"/>
            <w:shd w:val="clear" w:color="auto" w:fill="auto"/>
            <w:tcMar>
              <w:top w:w="75" w:type="dxa"/>
              <w:left w:w="150" w:type="dxa"/>
              <w:bottom w:w="75" w:type="dxa"/>
              <w:right w:w="150" w:type="dxa"/>
            </w:tcMar>
            <w:vAlign w:val="center"/>
          </w:tcPr>
          <w:p>
            <w:pPr>
              <w:rPr>
                <w:rFonts w:hint="eastAsia"/>
              </w:rPr>
            </w:pPr>
            <w:r>
              <w:rPr>
                <w:rFonts w:hint="eastAsia"/>
              </w:rPr>
              <w:t>第一学期</w:t>
            </w: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财富管理通论</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线下</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32</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47" w:hRule="atLeast"/>
        </w:trPr>
        <w:tc>
          <w:tcPr>
            <w:tcW w:w="1182" w:type="dxa"/>
            <w:vMerge w:val="continue"/>
            <w:shd w:val="clear" w:color="auto" w:fill="auto"/>
            <w:vAlign w:val="center"/>
          </w:tcPr>
          <w:p>
            <w:pPr>
              <w:rPr>
                <w:rFonts w:hint="eastAsia"/>
              </w:rPr>
            </w:pP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证券投资与大类资产配置</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线上线下混合</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48</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175" w:hRule="atLeast"/>
        </w:trPr>
        <w:tc>
          <w:tcPr>
            <w:tcW w:w="1182" w:type="dxa"/>
            <w:vMerge w:val="continue"/>
            <w:shd w:val="clear" w:color="auto" w:fill="auto"/>
            <w:vAlign w:val="center"/>
          </w:tcPr>
          <w:p>
            <w:pPr>
              <w:rPr>
                <w:rFonts w:hint="eastAsia"/>
              </w:rPr>
            </w:pP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财富传承与家族财富管理</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线下</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32</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175" w:hRule="atLeast"/>
        </w:trPr>
        <w:tc>
          <w:tcPr>
            <w:tcW w:w="1182" w:type="dxa"/>
            <w:vMerge w:val="restart"/>
            <w:shd w:val="clear" w:color="auto" w:fill="auto"/>
            <w:tcMar>
              <w:top w:w="75" w:type="dxa"/>
              <w:left w:w="150" w:type="dxa"/>
              <w:bottom w:w="75" w:type="dxa"/>
              <w:right w:w="150" w:type="dxa"/>
            </w:tcMar>
            <w:vAlign w:val="center"/>
          </w:tcPr>
          <w:p>
            <w:pPr>
              <w:rPr>
                <w:rFonts w:hint="eastAsia"/>
              </w:rPr>
            </w:pPr>
            <w:r>
              <w:rPr>
                <w:rFonts w:hint="eastAsia"/>
              </w:rPr>
              <w:t>第二学期</w:t>
            </w: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风险管理与保险规划</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线上线下混合</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48</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175" w:hRule="atLeast"/>
        </w:trPr>
        <w:tc>
          <w:tcPr>
            <w:tcW w:w="1182" w:type="dxa"/>
            <w:vMerge w:val="continue"/>
            <w:shd w:val="clear" w:color="auto" w:fill="auto"/>
            <w:vAlign w:val="center"/>
          </w:tcPr>
          <w:p>
            <w:pPr>
              <w:rPr>
                <w:rFonts w:hint="eastAsia"/>
              </w:rPr>
            </w:pP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数字金融与金融科技</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线上线下混合</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32</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176" w:hRule="atLeast"/>
        </w:trPr>
        <w:tc>
          <w:tcPr>
            <w:tcW w:w="1182" w:type="dxa"/>
            <w:vMerge w:val="continue"/>
            <w:shd w:val="clear" w:color="auto" w:fill="auto"/>
            <w:vAlign w:val="center"/>
          </w:tcPr>
          <w:p>
            <w:pPr>
              <w:rPr>
                <w:rFonts w:hint="eastAsia"/>
              </w:rPr>
            </w:pPr>
          </w:p>
        </w:tc>
        <w:tc>
          <w:tcPr>
            <w:tcW w:w="2790" w:type="dxa"/>
            <w:shd w:val="clear" w:color="auto" w:fill="auto"/>
            <w:tcMar>
              <w:top w:w="75" w:type="dxa"/>
              <w:left w:w="150" w:type="dxa"/>
              <w:bottom w:w="75" w:type="dxa"/>
              <w:right w:w="150" w:type="dxa"/>
            </w:tcMar>
            <w:vAlign w:val="center"/>
          </w:tcPr>
          <w:p>
            <w:pPr>
              <w:rPr>
                <w:rFonts w:hint="eastAsia"/>
              </w:rPr>
            </w:pPr>
            <w:r>
              <w:rPr>
                <w:rFonts w:hint="eastAsia"/>
              </w:rPr>
              <w:t>财富管理中的投行业务</w:t>
            </w:r>
          </w:p>
        </w:tc>
        <w:tc>
          <w:tcPr>
            <w:tcW w:w="1764" w:type="dxa"/>
            <w:shd w:val="clear" w:color="auto" w:fill="auto"/>
            <w:tcMar>
              <w:top w:w="75" w:type="dxa"/>
              <w:left w:w="150" w:type="dxa"/>
              <w:bottom w:w="75" w:type="dxa"/>
              <w:right w:w="150" w:type="dxa"/>
            </w:tcMar>
            <w:vAlign w:val="center"/>
          </w:tcPr>
          <w:p>
            <w:pPr>
              <w:rPr>
                <w:rFonts w:hint="eastAsia"/>
              </w:rPr>
            </w:pPr>
            <w:r>
              <w:rPr>
                <w:rFonts w:hint="eastAsia"/>
              </w:rPr>
              <w:t>线下</w:t>
            </w:r>
          </w:p>
        </w:tc>
        <w:tc>
          <w:tcPr>
            <w:tcW w:w="983" w:type="dxa"/>
            <w:shd w:val="clear" w:color="auto" w:fill="auto"/>
            <w:tcMar>
              <w:top w:w="75" w:type="dxa"/>
              <w:left w:w="150" w:type="dxa"/>
              <w:bottom w:w="75" w:type="dxa"/>
              <w:right w:w="150" w:type="dxa"/>
            </w:tcMar>
            <w:vAlign w:val="center"/>
          </w:tcPr>
          <w:p>
            <w:pPr>
              <w:rPr>
                <w:rFonts w:hint="eastAsia"/>
              </w:rPr>
            </w:pPr>
            <w:r>
              <w:rPr>
                <w:rFonts w:hint="eastAsia"/>
              </w:rPr>
              <w:t>32</w:t>
            </w:r>
          </w:p>
        </w:tc>
        <w:tc>
          <w:tcPr>
            <w:tcW w:w="1158" w:type="dxa"/>
            <w:shd w:val="clear" w:color="auto" w:fill="auto"/>
            <w:tcMar>
              <w:top w:w="75" w:type="dxa"/>
              <w:left w:w="150" w:type="dxa"/>
              <w:bottom w:w="75" w:type="dxa"/>
              <w:right w:w="150" w:type="dxa"/>
            </w:tcMar>
            <w:vAlign w:val="center"/>
          </w:tcPr>
          <w:p>
            <w:pPr>
              <w:rPr>
                <w:rFonts w:hint="eastAsia"/>
              </w:rPr>
            </w:pPr>
            <w:r>
              <w:rPr>
                <w:rFonts w:hint="eastAsia"/>
              </w:rPr>
              <w:t>2</w:t>
            </w:r>
          </w:p>
        </w:tc>
      </w:tr>
    </w:tbl>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本专业课程设置分为两大模块。</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模块一：挖掘家庭个人财富管理的主要议题。由《财富管理通论》、《证券投资与大类资产配置》、《风险管理与保险规划》、《财富传承与家族财富管理》等课程构成，主要介绍财富管理的基本范畴、财富增值保值、财富风险防控以及财富代际传承等问题。</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模块二：覆盖家庭个人财富管理的两个重点专题，即财富管理的高级化业务和财富科技的应用。由《数字金融与金融科技》主要讨论财富管理业务数字化普惠化主题。《财富管理中的投行业务》主要讨论财富管理过程中高净值人群的“个人-家庭-企业-社会”链条中的投资银行业务。</w:t>
      </w:r>
    </w:p>
    <w:p>
      <w:pPr>
        <w:keepNext w:val="0"/>
        <w:keepLines w:val="0"/>
        <w:pageBreakBefore w:val="0"/>
        <w:widowControl/>
        <w:numPr>
          <w:ilvl w:val="0"/>
          <w:numId w:val="3"/>
        </w:numPr>
        <w:shd w:val="clear" w:color="auto"/>
        <w:kinsoku/>
        <w:wordWrap/>
        <w:overflowPunct/>
        <w:topLinePunct w:val="0"/>
        <w:autoSpaceDE/>
        <w:autoSpaceDN/>
        <w:bidi w:val="0"/>
        <w:adjustRightInd/>
        <w:snapToGrid/>
        <w:spacing w:before="158" w:line="420" w:lineRule="atLeast"/>
        <w:ind w:left="0" w:leftChars="0"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居住方案与住房金融</w:t>
      </w:r>
    </w:p>
    <w:tbl>
      <w:tblPr>
        <w:tblStyle w:val="8"/>
        <w:tblW w:w="8145"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1567"/>
        <w:gridCol w:w="3112"/>
        <w:gridCol w:w="1567"/>
        <w:gridCol w:w="949"/>
        <w:gridCol w:w="95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课程名称</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教学方式</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课时</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学分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0" w:type="auto"/>
            <w:vMerge w:val="restart"/>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第一学期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住房经济概论</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49"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居住方案选择</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住房金融</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0" w:type="auto"/>
            <w:vMerge w:val="restart"/>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第二学期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住房取得与金融支持</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家庭住房管理</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住房装修与智能化</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bl>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五</w:t>
      </w:r>
      <w:r>
        <w:rPr>
          <w:rFonts w:hint="eastAsia" w:ascii="宋体" w:hAnsi="宋体" w:eastAsia="宋体" w:cs="宋体"/>
          <w:b/>
          <w:bCs/>
          <w:color w:val="auto"/>
          <w:kern w:val="0"/>
          <w:sz w:val="28"/>
          <w:szCs w:val="28"/>
        </w:rPr>
        <w:t>、招生对象</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凡我校202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级、202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级在校本科生，均可报名，不限专业。</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六、报名时间及流程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（一）报名时间</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2024年3月2日——3月8日</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本次报名工作结束后，学校不再接受任何形式的补报名，请各位学生在规定时间内及时报名。</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（二）报名流程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学生登录教务系统进行报名，具体报名流程及操作方法见微专业报名学生操作指南（附件</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特别提醒：按流程操作选定微专业报名后，必须点击返回后再提交“送审”才算完成报名。请学生们仔细阅读微专业报名操作指南。</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报名结束后，学院于3月13日前确定预录名单，公示后报送至学校教务部。</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七、教学时间及上课安排</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微专业教学时间为2个学期，定于202</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学年第二学期开课，上课时间暂定为周一至周五晚上或双休日（会综合考虑大家的空闲时间），课表信息请于202</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学年第二学期开学前至金融学院官网查看。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八</w:t>
      </w:r>
      <w:r>
        <w:rPr>
          <w:rFonts w:hint="eastAsia" w:ascii="宋体" w:hAnsi="宋体" w:eastAsia="宋体" w:cs="宋体"/>
          <w:b/>
          <w:bCs/>
          <w:color w:val="auto"/>
          <w:kern w:val="0"/>
          <w:sz w:val="28"/>
          <w:szCs w:val="28"/>
        </w:rPr>
        <w:t>、收费标准</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微专业按学分收取学费，每学分100元。财富管理专业14学分，学费1400元</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居住方案与住房金融微专业12学分，学费1200元</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微专业需一次性缴清学费</w:t>
      </w:r>
      <w:r>
        <w:rPr>
          <w:rFonts w:hint="eastAsia" w:ascii="宋体" w:hAnsi="宋体" w:eastAsia="宋体" w:cs="宋体"/>
          <w:color w:val="auto"/>
          <w:kern w:val="0"/>
          <w:sz w:val="28"/>
          <w:szCs w:val="28"/>
          <w:lang w:eastAsia="zh-CN"/>
        </w:rPr>
        <w:t>。</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九</w:t>
      </w:r>
      <w:r>
        <w:rPr>
          <w:rFonts w:hint="eastAsia" w:ascii="宋体" w:hAnsi="宋体" w:eastAsia="宋体" w:cs="宋体"/>
          <w:b/>
          <w:bCs/>
          <w:color w:val="auto"/>
          <w:kern w:val="0"/>
          <w:sz w:val="28"/>
          <w:szCs w:val="28"/>
        </w:rPr>
        <w:t>、缴费时间及流程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（一）缴费时间及网址</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学生在规定时间段（2024年3月22日上午9：00——2024年3月26日下午16:00）登录中南财经政法大学校园统一支付平台（http://xssf.zuel.edu.cn/）缴纳，校内学生也可以直接点击校内统一认证登陆缴纳微专业学费。</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（二）缴费流程</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打开统一支付平台后无需进行新用户注册，直接登录即可。“用户名”一栏为学生本人的学号，“初始密码”为姓名首字母大写+身份证号第12到17位（例：姓名：王凯凯，身份证号：420111200012225678，初始密码即为：WKK222567，港澳台学生初始密码为姓名首字母大写+学号，进行过密码修改的学生请使用本人修改后的密码），输入验证码后，进入缴费页面。请务必填写准确的手机号和电子邮箱，确保后期电子票据能准确接收，各位同学请妥善保管好密码。</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2.在“费用信息及缴费状况”一栏中可以看到本人微专业的缴费详情，按照提示缴纳学费（手机无法登录缴费的用户请使用电脑登录缴费，电脑登录成功后可手机微信扫码支付，也可网银快捷支付。）</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缴纳完学费后，财务部将统一开具财政电子票据，通过推送短信和电子邮件的方式，将电子票据推送到学生在统一支付平台填写的手机号和邮箱中。各学院将为缴费学生打印听课证，学生凭听课证参加微专业课程学习。</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特别提示：今年网络在线缴费结束后，学校财务部统一支付平台将关闭，届时无法接受任何形式的补缴纳微专业学费，所以未在规定时间内缴纳学费的学生，视同自动退出微专业学习。</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十</w:t>
      </w:r>
      <w:r>
        <w:rPr>
          <w:rFonts w:hint="eastAsia" w:ascii="宋体" w:hAnsi="宋体" w:eastAsia="宋体" w:cs="宋体"/>
          <w:b/>
          <w:bCs/>
          <w:color w:val="auto"/>
          <w:kern w:val="0"/>
          <w:sz w:val="28"/>
          <w:szCs w:val="28"/>
        </w:rPr>
        <w:t>、其它说明</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参加微专业修读的学生，已修读的微专业课程学分可等值认定为通识选修课学分，可认定为通识选修课程的学分不超过</w:t>
      </w:r>
      <w:r>
        <w:rPr>
          <w:rFonts w:ascii="宋体" w:hAnsi="宋体" w:eastAsia="宋体" w:cs="宋体"/>
          <w:kern w:val="0"/>
          <w:sz w:val="28"/>
          <w:szCs w:val="28"/>
        </w:rPr>
        <w:t>6</w:t>
      </w:r>
      <w:r>
        <w:rPr>
          <w:rFonts w:hint="eastAsia" w:ascii="宋体" w:hAnsi="宋体" w:eastAsia="宋体" w:cs="宋体"/>
          <w:kern w:val="0"/>
          <w:sz w:val="28"/>
          <w:szCs w:val="28"/>
        </w:rPr>
        <w:t>学分。同时根据课程内容相近原则可等值认定为专业教育课程学分。</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十</w:t>
      </w:r>
      <w:r>
        <w:rPr>
          <w:rFonts w:hint="eastAsia" w:ascii="宋体" w:hAnsi="宋体" w:eastAsia="宋体" w:cs="宋体"/>
          <w:b/>
          <w:bCs/>
          <w:color w:val="auto"/>
          <w:kern w:val="0"/>
          <w:sz w:val="28"/>
          <w:szCs w:val="28"/>
          <w:lang w:eastAsia="zh-CN"/>
        </w:rPr>
        <w:t>一</w:t>
      </w:r>
      <w:r>
        <w:rPr>
          <w:rFonts w:hint="eastAsia" w:ascii="宋体" w:hAnsi="宋体" w:eastAsia="宋体" w:cs="宋体"/>
          <w:b/>
          <w:bCs/>
          <w:color w:val="auto"/>
          <w:kern w:val="0"/>
          <w:sz w:val="28"/>
          <w:szCs w:val="28"/>
        </w:rPr>
        <w:t>、咨询电话</w:t>
      </w:r>
    </w:p>
    <w:p>
      <w:pPr>
        <w:keepNext w:val="0"/>
        <w:keepLines w:val="0"/>
        <w:pageBreakBefore w:val="0"/>
        <w:widowControl/>
        <w:shd w:val="clear" w:color="auto"/>
        <w:kinsoku/>
        <w:wordWrap/>
        <w:overflowPunct/>
        <w:topLinePunct w:val="0"/>
        <w:autoSpaceDE/>
        <w:autoSpaceDN/>
        <w:bidi w:val="0"/>
        <w:adjustRightInd/>
        <w:snapToGrid/>
        <w:spacing w:before="158" w:line="420" w:lineRule="atLeas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金融学院财富管理微专业管理老师：胡老师，88387567</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文泉楼南433室。</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92127"/>
    <w:multiLevelType w:val="singleLevel"/>
    <w:tmpl w:val="98A92127"/>
    <w:lvl w:ilvl="0" w:tentative="0">
      <w:start w:val="1"/>
      <w:numFmt w:val="chineseCounting"/>
      <w:suff w:val="nothing"/>
      <w:lvlText w:val="%1、"/>
      <w:lvlJc w:val="left"/>
      <w:rPr>
        <w:rFonts w:hint="eastAsia"/>
      </w:rPr>
    </w:lvl>
  </w:abstractNum>
  <w:abstractNum w:abstractNumId="1">
    <w:nsid w:val="98EA2A40"/>
    <w:multiLevelType w:val="singleLevel"/>
    <w:tmpl w:val="98EA2A40"/>
    <w:lvl w:ilvl="0" w:tentative="0">
      <w:start w:val="2"/>
      <w:numFmt w:val="chineseCounting"/>
      <w:suff w:val="nothing"/>
      <w:lvlText w:val="（%1）"/>
      <w:lvlJc w:val="left"/>
      <w:rPr>
        <w:rFonts w:hint="eastAsia"/>
      </w:rPr>
    </w:lvl>
  </w:abstractNum>
  <w:abstractNum w:abstractNumId="2">
    <w:nsid w:val="D1B18432"/>
    <w:multiLevelType w:val="singleLevel"/>
    <w:tmpl w:val="D1B1843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MWViNDgyZGEwZGQwNmM2MWI1MWJmYWExMDY4MzAifQ=="/>
  </w:docVars>
  <w:rsids>
    <w:rsidRoot w:val="00E5186A"/>
    <w:rsid w:val="00017F2A"/>
    <w:rsid w:val="000804C8"/>
    <w:rsid w:val="00084B68"/>
    <w:rsid w:val="00090E25"/>
    <w:rsid w:val="000F18FB"/>
    <w:rsid w:val="0012226A"/>
    <w:rsid w:val="001518EF"/>
    <w:rsid w:val="001B728B"/>
    <w:rsid w:val="001E2B01"/>
    <w:rsid w:val="0021775A"/>
    <w:rsid w:val="0022316D"/>
    <w:rsid w:val="00274A23"/>
    <w:rsid w:val="002B1CDA"/>
    <w:rsid w:val="0035275B"/>
    <w:rsid w:val="003C69CA"/>
    <w:rsid w:val="0048232A"/>
    <w:rsid w:val="004F21CE"/>
    <w:rsid w:val="00503DBD"/>
    <w:rsid w:val="005179E3"/>
    <w:rsid w:val="00574F41"/>
    <w:rsid w:val="005B296E"/>
    <w:rsid w:val="005B5EB6"/>
    <w:rsid w:val="005D04C4"/>
    <w:rsid w:val="005F2BBE"/>
    <w:rsid w:val="006148C6"/>
    <w:rsid w:val="00622C20"/>
    <w:rsid w:val="00647D8E"/>
    <w:rsid w:val="00695B45"/>
    <w:rsid w:val="006E1BE8"/>
    <w:rsid w:val="00726F54"/>
    <w:rsid w:val="00734FD6"/>
    <w:rsid w:val="007869FA"/>
    <w:rsid w:val="007E4426"/>
    <w:rsid w:val="0080719C"/>
    <w:rsid w:val="0088014B"/>
    <w:rsid w:val="00885B3A"/>
    <w:rsid w:val="008F777B"/>
    <w:rsid w:val="00950A78"/>
    <w:rsid w:val="00984112"/>
    <w:rsid w:val="009B25EE"/>
    <w:rsid w:val="009B3C2D"/>
    <w:rsid w:val="009C5BA0"/>
    <w:rsid w:val="009F69F4"/>
    <w:rsid w:val="00AA758F"/>
    <w:rsid w:val="00AE034E"/>
    <w:rsid w:val="00B43049"/>
    <w:rsid w:val="00B44845"/>
    <w:rsid w:val="00B92294"/>
    <w:rsid w:val="00C17D13"/>
    <w:rsid w:val="00CE332F"/>
    <w:rsid w:val="00CF1AB6"/>
    <w:rsid w:val="00D85307"/>
    <w:rsid w:val="00DC1C83"/>
    <w:rsid w:val="00DF555C"/>
    <w:rsid w:val="00E239D4"/>
    <w:rsid w:val="00E5186A"/>
    <w:rsid w:val="00EB04EA"/>
    <w:rsid w:val="00F050A1"/>
    <w:rsid w:val="00F35F05"/>
    <w:rsid w:val="00F551AB"/>
    <w:rsid w:val="00FB1447"/>
    <w:rsid w:val="08E85743"/>
    <w:rsid w:val="1CC01071"/>
    <w:rsid w:val="1DFB1A81"/>
    <w:rsid w:val="21BF40D2"/>
    <w:rsid w:val="264341A5"/>
    <w:rsid w:val="268F0131"/>
    <w:rsid w:val="2977374D"/>
    <w:rsid w:val="302675A2"/>
    <w:rsid w:val="4250464C"/>
    <w:rsid w:val="43D5649B"/>
    <w:rsid w:val="53E474B6"/>
    <w:rsid w:val="573322D6"/>
    <w:rsid w:val="593D4FBF"/>
    <w:rsid w:val="5B11398D"/>
    <w:rsid w:val="5BA22F68"/>
    <w:rsid w:val="63C171A5"/>
    <w:rsid w:val="71376EBA"/>
    <w:rsid w:val="7372042B"/>
    <w:rsid w:val="7930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标题 1 字符"/>
    <w:basedOn w:val="9"/>
    <w:link w:val="2"/>
    <w:qFormat/>
    <w:uiPriority w:val="9"/>
    <w:rPr>
      <w:b/>
      <w:bCs/>
      <w:kern w:val="44"/>
      <w:sz w:val="44"/>
      <w:szCs w:val="44"/>
    </w:rPr>
  </w:style>
  <w:style w:type="character" w:customStyle="1" w:styleId="14">
    <w:name w:val="标题 2 字符"/>
    <w:basedOn w:val="9"/>
    <w:link w:val="3"/>
    <w:qFormat/>
    <w:uiPriority w:val="9"/>
    <w:rPr>
      <w:rFonts w:asciiTheme="majorHAnsi" w:hAnsiTheme="majorHAnsi" w:eastAsiaTheme="majorEastAsia" w:cstheme="majorBidi"/>
      <w:b/>
      <w:bCs/>
      <w:sz w:val="32"/>
      <w:szCs w:val="32"/>
    </w:rPr>
  </w:style>
  <w:style w:type="character" w:customStyle="1" w:styleId="15">
    <w:name w:val="未处理的提及1"/>
    <w:basedOn w:val="9"/>
    <w:semiHidden/>
    <w:unhideWhenUsed/>
    <w:qFormat/>
    <w:uiPriority w:val="99"/>
    <w:rPr>
      <w:color w:val="605E5C"/>
      <w:shd w:val="clear" w:color="auto" w:fill="E1DFDD"/>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页眉 字符"/>
    <w:basedOn w:val="9"/>
    <w:link w:val="6"/>
    <w:qFormat/>
    <w:uiPriority w:val="99"/>
    <w:rPr>
      <w:sz w:val="18"/>
      <w:szCs w:val="18"/>
    </w:rPr>
  </w:style>
  <w:style w:type="character" w:customStyle="1" w:styleId="18">
    <w:name w:val="页脚 字符"/>
    <w:basedOn w:val="9"/>
    <w:link w:val="5"/>
    <w:qFormat/>
    <w:uiPriority w:val="99"/>
    <w:rPr>
      <w:sz w:val="18"/>
      <w:szCs w:val="18"/>
    </w:rPr>
  </w:style>
  <w:style w:type="character" w:customStyle="1" w:styleId="19">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Words>
  <Characters>1654</Characters>
  <Lines>13</Lines>
  <Paragraphs>3</Paragraphs>
  <TotalTime>5</TotalTime>
  <ScaleCrop>false</ScaleCrop>
  <LinksUpToDate>false</LinksUpToDate>
  <CharactersWithSpaces>1941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2022-12-02T03:39:00Z</dcterms:created>
  <dc:creator>A</dc:creator>
  <cp:lastModifiedBy>Elena</cp:lastModifiedBy>
  <dcterms:modified xsi:type="dcterms:W3CDTF">2024-03-04T01:11:10Z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0992E34D02CA46D894B56D634EFFD499</vt:lpwstr>
  </property>
</Properties>
</file>